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4F" w:rsidRPr="000B604F" w:rsidRDefault="000B604F" w:rsidP="000B604F">
      <w:pPr>
        <w:jc w:val="center"/>
        <w:rPr>
          <w:sz w:val="20"/>
          <w:szCs w:val="20"/>
        </w:rPr>
      </w:pPr>
    </w:p>
    <w:p w:rsidR="000B604F" w:rsidRPr="000B604F" w:rsidRDefault="000B604F" w:rsidP="000B604F">
      <w:pPr>
        <w:jc w:val="center"/>
        <w:rPr>
          <w:sz w:val="20"/>
          <w:szCs w:val="20"/>
        </w:rPr>
      </w:pPr>
    </w:p>
    <w:p w:rsidR="000B604F" w:rsidRPr="000B604F" w:rsidRDefault="000B604F" w:rsidP="000B604F">
      <w:pPr>
        <w:jc w:val="center"/>
        <w:rPr>
          <w:sz w:val="20"/>
          <w:szCs w:val="20"/>
        </w:rPr>
      </w:pPr>
      <w:r w:rsidRPr="000B604F">
        <w:rPr>
          <w:sz w:val="20"/>
          <w:szCs w:val="20"/>
        </w:rPr>
        <w:t>(To be printed in the letterhead of mills)</w:t>
      </w:r>
    </w:p>
    <w:p w:rsidR="000B604F" w:rsidRPr="000B604F" w:rsidRDefault="000B604F" w:rsidP="000B604F">
      <w:pPr>
        <w:jc w:val="center"/>
        <w:rPr>
          <w:sz w:val="20"/>
          <w:szCs w:val="20"/>
        </w:rPr>
      </w:pPr>
    </w:p>
    <w:p w:rsidR="000B604F" w:rsidRPr="000B604F" w:rsidRDefault="000B604F" w:rsidP="000B604F">
      <w:pPr>
        <w:jc w:val="center"/>
        <w:rPr>
          <w:sz w:val="20"/>
          <w:szCs w:val="20"/>
        </w:rPr>
      </w:pPr>
      <w:r w:rsidRPr="000B604F">
        <w:rPr>
          <w:sz w:val="20"/>
          <w:szCs w:val="20"/>
        </w:rPr>
        <w:t>Specimen II</w:t>
      </w:r>
    </w:p>
    <w:p w:rsidR="000B604F" w:rsidRPr="000B604F" w:rsidRDefault="000B604F" w:rsidP="000B604F">
      <w:pPr>
        <w:rPr>
          <w:sz w:val="20"/>
          <w:szCs w:val="20"/>
        </w:rPr>
      </w:pPr>
      <w:r w:rsidRPr="000B604F">
        <w:rPr>
          <w:sz w:val="20"/>
          <w:szCs w:val="20"/>
        </w:rPr>
        <w:t>To</w:t>
      </w:r>
      <w:r w:rsidRPr="000B604F">
        <w:rPr>
          <w:sz w:val="20"/>
          <w:szCs w:val="20"/>
        </w:rPr>
        <w:tab/>
      </w:r>
      <w:r w:rsidRPr="000B604F">
        <w:rPr>
          <w:sz w:val="20"/>
          <w:szCs w:val="20"/>
        </w:rPr>
        <w:tab/>
      </w:r>
      <w:r w:rsidRPr="000B604F">
        <w:rPr>
          <w:sz w:val="20"/>
          <w:szCs w:val="20"/>
        </w:rPr>
        <w:tab/>
      </w:r>
      <w:r w:rsidRPr="000B604F">
        <w:rPr>
          <w:sz w:val="20"/>
          <w:szCs w:val="20"/>
        </w:rPr>
        <w:tab/>
      </w:r>
      <w:r w:rsidRPr="000B604F">
        <w:rPr>
          <w:sz w:val="20"/>
          <w:szCs w:val="20"/>
        </w:rPr>
        <w:tab/>
      </w:r>
      <w:r w:rsidRPr="000B604F">
        <w:rPr>
          <w:sz w:val="20"/>
          <w:szCs w:val="20"/>
        </w:rPr>
        <w:tab/>
      </w:r>
      <w:r w:rsidRPr="000B604F">
        <w:rPr>
          <w:sz w:val="20"/>
          <w:szCs w:val="20"/>
        </w:rPr>
        <w:tab/>
      </w:r>
      <w:r w:rsidRPr="000B604F">
        <w:rPr>
          <w:sz w:val="20"/>
          <w:szCs w:val="20"/>
        </w:rPr>
        <w:tab/>
      </w:r>
      <w:r w:rsidRPr="000B604F">
        <w:rPr>
          <w:sz w:val="20"/>
          <w:szCs w:val="20"/>
        </w:rPr>
        <w:tab/>
        <w:t xml:space="preserve">Date: </w:t>
      </w:r>
    </w:p>
    <w:p w:rsidR="000B604F" w:rsidRPr="000B604F" w:rsidRDefault="000B604F" w:rsidP="000B604F">
      <w:pPr>
        <w:rPr>
          <w:sz w:val="20"/>
          <w:szCs w:val="20"/>
        </w:rPr>
      </w:pPr>
      <w:r w:rsidRPr="000B604F">
        <w:rPr>
          <w:sz w:val="20"/>
          <w:szCs w:val="20"/>
        </w:rPr>
        <w:t>The Generator,</w:t>
      </w:r>
    </w:p>
    <w:p w:rsidR="000B604F" w:rsidRPr="000B604F" w:rsidRDefault="000B604F" w:rsidP="000B604F">
      <w:pPr>
        <w:rPr>
          <w:sz w:val="20"/>
          <w:szCs w:val="20"/>
        </w:rPr>
      </w:pPr>
    </w:p>
    <w:p w:rsidR="000B604F" w:rsidRPr="000B604F" w:rsidRDefault="000B604F" w:rsidP="000B604F">
      <w:pPr>
        <w:rPr>
          <w:sz w:val="20"/>
          <w:szCs w:val="20"/>
        </w:rPr>
      </w:pPr>
      <w:r w:rsidRPr="000B604F">
        <w:rPr>
          <w:sz w:val="20"/>
          <w:szCs w:val="20"/>
        </w:rPr>
        <w:t>Sir,</w:t>
      </w:r>
    </w:p>
    <w:p w:rsidR="000B604F" w:rsidRPr="000B604F" w:rsidRDefault="000B604F" w:rsidP="000B604F">
      <w:pPr>
        <w:spacing w:line="240" w:lineRule="auto"/>
        <w:ind w:left="1440" w:hanging="720"/>
        <w:jc w:val="both"/>
        <w:rPr>
          <w:rFonts w:cs="Arial"/>
          <w:sz w:val="20"/>
          <w:szCs w:val="20"/>
        </w:rPr>
      </w:pPr>
      <w:r w:rsidRPr="000B604F">
        <w:rPr>
          <w:sz w:val="20"/>
          <w:szCs w:val="20"/>
        </w:rPr>
        <w:t>Sub:</w:t>
      </w:r>
      <w:r w:rsidRPr="000B604F">
        <w:rPr>
          <w:sz w:val="20"/>
          <w:szCs w:val="20"/>
        </w:rPr>
        <w:tab/>
      </w:r>
      <w:r w:rsidRPr="000B604F">
        <w:rPr>
          <w:rFonts w:cs="Arial"/>
          <w:sz w:val="20"/>
          <w:szCs w:val="20"/>
        </w:rPr>
        <w:t xml:space="preserve">Verification of Captive Norms from Consumer End-Instructions / Clarifications issued to all SEs by the CFC-Revenue-Objections filed on the grounds of locus standi. </w:t>
      </w:r>
    </w:p>
    <w:p w:rsidR="000B604F" w:rsidRPr="000B604F" w:rsidRDefault="000B604F" w:rsidP="000B604F">
      <w:pPr>
        <w:spacing w:line="240" w:lineRule="auto"/>
        <w:ind w:left="1440" w:hanging="720"/>
        <w:jc w:val="both"/>
        <w:rPr>
          <w:rFonts w:cs="Arial"/>
          <w:sz w:val="20"/>
          <w:szCs w:val="20"/>
        </w:rPr>
      </w:pPr>
    </w:p>
    <w:p w:rsidR="000B604F" w:rsidRPr="000B604F" w:rsidRDefault="000B604F" w:rsidP="000B604F">
      <w:pPr>
        <w:spacing w:line="240" w:lineRule="auto"/>
        <w:ind w:left="1440" w:hanging="720"/>
        <w:jc w:val="both"/>
        <w:rPr>
          <w:rFonts w:cs="Arial"/>
          <w:sz w:val="20"/>
          <w:szCs w:val="20"/>
        </w:rPr>
      </w:pPr>
      <w:r w:rsidRPr="000B604F">
        <w:rPr>
          <w:rFonts w:cs="Arial"/>
          <w:sz w:val="20"/>
          <w:szCs w:val="20"/>
        </w:rPr>
        <w:t>Ref:</w:t>
      </w:r>
      <w:r w:rsidRPr="000B604F">
        <w:rPr>
          <w:rFonts w:cs="Arial"/>
          <w:sz w:val="20"/>
          <w:szCs w:val="20"/>
        </w:rPr>
        <w:tab/>
        <w:t xml:space="preserve">1. The Circular Memo No. CFC/FC/REV/AS.3/D.325/17 Dated </w:t>
      </w:r>
    </w:p>
    <w:p w:rsidR="000B604F" w:rsidRPr="000B604F" w:rsidRDefault="000B604F" w:rsidP="000B604F">
      <w:pPr>
        <w:spacing w:line="240" w:lineRule="auto"/>
        <w:ind w:left="720" w:firstLine="720"/>
        <w:jc w:val="both"/>
        <w:rPr>
          <w:rFonts w:cs="Arial"/>
          <w:sz w:val="20"/>
          <w:szCs w:val="20"/>
        </w:rPr>
      </w:pPr>
      <w:r w:rsidRPr="000B604F">
        <w:rPr>
          <w:rFonts w:cs="Arial"/>
          <w:sz w:val="20"/>
          <w:szCs w:val="20"/>
        </w:rPr>
        <w:t xml:space="preserve">    15.03.2017 of CFC-Revenue, Chennai. </w:t>
      </w:r>
    </w:p>
    <w:p w:rsidR="000B604F" w:rsidRPr="000B604F" w:rsidRDefault="000B604F" w:rsidP="000B604F">
      <w:pPr>
        <w:spacing w:line="240" w:lineRule="auto"/>
        <w:ind w:left="1440" w:hanging="720"/>
        <w:jc w:val="both"/>
        <w:rPr>
          <w:rFonts w:cs="Arial"/>
          <w:sz w:val="20"/>
          <w:szCs w:val="20"/>
        </w:rPr>
      </w:pPr>
      <w:r w:rsidRPr="000B604F">
        <w:rPr>
          <w:rFonts w:cs="Arial"/>
          <w:sz w:val="20"/>
          <w:szCs w:val="20"/>
        </w:rPr>
        <w:tab/>
        <w:t xml:space="preserve">2. The Memo No. CFC/ REV/FC/REV/AS.3/F.CGP/D.203/17 Dated </w:t>
      </w:r>
    </w:p>
    <w:p w:rsidR="000B604F" w:rsidRPr="000B604F" w:rsidRDefault="000B604F" w:rsidP="000B604F">
      <w:pPr>
        <w:spacing w:line="240" w:lineRule="auto"/>
        <w:ind w:left="1440"/>
        <w:jc w:val="both"/>
        <w:rPr>
          <w:rFonts w:cs="Arial"/>
          <w:sz w:val="20"/>
          <w:szCs w:val="20"/>
        </w:rPr>
      </w:pPr>
      <w:r w:rsidRPr="000B604F">
        <w:rPr>
          <w:rFonts w:cs="Arial"/>
          <w:sz w:val="20"/>
          <w:szCs w:val="20"/>
        </w:rPr>
        <w:t xml:space="preserve">    18.03.2017 of CFC-Revenue, Chennai.</w:t>
      </w:r>
    </w:p>
    <w:p w:rsidR="000B604F" w:rsidRPr="000B604F" w:rsidRDefault="000B604F" w:rsidP="000B604F">
      <w:pPr>
        <w:spacing w:line="240" w:lineRule="auto"/>
        <w:ind w:left="1440" w:hanging="720"/>
        <w:jc w:val="both"/>
        <w:rPr>
          <w:rFonts w:cs="Arial"/>
          <w:sz w:val="20"/>
          <w:szCs w:val="20"/>
        </w:rPr>
      </w:pPr>
      <w:r w:rsidRPr="000B604F">
        <w:rPr>
          <w:rFonts w:cs="Arial"/>
          <w:sz w:val="20"/>
          <w:szCs w:val="20"/>
        </w:rPr>
        <w:tab/>
        <w:t>3. The Circular Memo No.CFC/REV/FC/REV/AS.3/F.CGP/D.329/17</w:t>
      </w:r>
    </w:p>
    <w:p w:rsidR="000B604F" w:rsidRPr="000B604F" w:rsidRDefault="000B604F" w:rsidP="000B604F">
      <w:pPr>
        <w:spacing w:line="240" w:lineRule="auto"/>
        <w:ind w:left="1440"/>
        <w:jc w:val="both"/>
        <w:rPr>
          <w:rFonts w:cs="Arial"/>
          <w:sz w:val="20"/>
          <w:szCs w:val="20"/>
        </w:rPr>
      </w:pPr>
      <w:r w:rsidRPr="000B604F">
        <w:rPr>
          <w:rFonts w:cs="Arial"/>
          <w:sz w:val="20"/>
          <w:szCs w:val="20"/>
        </w:rPr>
        <w:t xml:space="preserve">    Dated 30/31.03.2017 of CFC-Revenue, Chennai.</w:t>
      </w:r>
    </w:p>
    <w:p w:rsidR="000B604F" w:rsidRPr="000B604F" w:rsidRDefault="000B604F" w:rsidP="000B604F">
      <w:pPr>
        <w:spacing w:line="240" w:lineRule="auto"/>
        <w:ind w:left="1440"/>
        <w:jc w:val="both"/>
        <w:rPr>
          <w:sz w:val="20"/>
          <w:szCs w:val="20"/>
        </w:rPr>
      </w:pPr>
      <w:r w:rsidRPr="000B604F">
        <w:rPr>
          <w:rFonts w:cs="Arial"/>
          <w:sz w:val="20"/>
          <w:szCs w:val="20"/>
        </w:rPr>
        <w:t>4. The</w:t>
      </w:r>
      <w:r w:rsidRPr="000B604F">
        <w:rPr>
          <w:sz w:val="20"/>
          <w:szCs w:val="20"/>
        </w:rPr>
        <w:t xml:space="preserve"> Lr.No.CFC/REV/FC/REV/DFC/AO.4/F.CGP Status/D.259  </w:t>
      </w:r>
    </w:p>
    <w:p w:rsidR="000B604F" w:rsidRPr="000B604F" w:rsidRDefault="000B604F" w:rsidP="000B604F">
      <w:pPr>
        <w:spacing w:line="240" w:lineRule="auto"/>
        <w:ind w:left="1440"/>
        <w:jc w:val="both"/>
        <w:rPr>
          <w:sz w:val="20"/>
          <w:szCs w:val="20"/>
        </w:rPr>
      </w:pPr>
      <w:r w:rsidRPr="000B604F">
        <w:rPr>
          <w:sz w:val="20"/>
          <w:szCs w:val="20"/>
        </w:rPr>
        <w:t xml:space="preserve">    /2017 Dated 31.03.2017 </w:t>
      </w:r>
      <w:r w:rsidRPr="000B604F">
        <w:rPr>
          <w:rFonts w:cs="Arial"/>
          <w:sz w:val="20"/>
          <w:szCs w:val="20"/>
        </w:rPr>
        <w:t>of CFC-Revenue, Chennai</w:t>
      </w:r>
      <w:r w:rsidRPr="000B604F">
        <w:rPr>
          <w:sz w:val="20"/>
          <w:szCs w:val="20"/>
        </w:rPr>
        <w:t>.</w:t>
      </w:r>
    </w:p>
    <w:p w:rsidR="000B604F" w:rsidRPr="000B604F" w:rsidRDefault="000B604F" w:rsidP="000B604F">
      <w:pPr>
        <w:spacing w:line="240" w:lineRule="auto"/>
        <w:ind w:left="1440"/>
        <w:jc w:val="both"/>
        <w:rPr>
          <w:sz w:val="20"/>
          <w:szCs w:val="20"/>
        </w:rPr>
      </w:pPr>
      <w:r w:rsidRPr="000B604F">
        <w:rPr>
          <w:sz w:val="20"/>
          <w:szCs w:val="20"/>
        </w:rPr>
        <w:t xml:space="preserve">5. The letter No.--------- dated ---------- of the Superintending </w:t>
      </w:r>
    </w:p>
    <w:p w:rsidR="000B604F" w:rsidRPr="000B604F" w:rsidRDefault="000B604F" w:rsidP="000B604F">
      <w:pPr>
        <w:spacing w:line="240" w:lineRule="auto"/>
        <w:ind w:left="1440"/>
        <w:jc w:val="both"/>
        <w:rPr>
          <w:sz w:val="20"/>
          <w:szCs w:val="20"/>
        </w:rPr>
      </w:pPr>
      <w:r w:rsidRPr="000B604F">
        <w:rPr>
          <w:sz w:val="20"/>
          <w:szCs w:val="20"/>
        </w:rPr>
        <w:t xml:space="preserve">    Engineer, --------- EDC. </w:t>
      </w:r>
    </w:p>
    <w:p w:rsidR="000B604F" w:rsidRPr="000B604F" w:rsidRDefault="000B604F" w:rsidP="000B604F">
      <w:pPr>
        <w:spacing w:line="240" w:lineRule="auto"/>
        <w:ind w:left="1440"/>
        <w:jc w:val="both"/>
        <w:rPr>
          <w:sz w:val="20"/>
          <w:szCs w:val="20"/>
        </w:rPr>
      </w:pPr>
      <w:r w:rsidRPr="000B604F">
        <w:rPr>
          <w:sz w:val="20"/>
          <w:szCs w:val="20"/>
        </w:rPr>
        <w:t xml:space="preserve">6. The objection filed before the CFC-Revenue on 10.04.2017 under  </w:t>
      </w:r>
    </w:p>
    <w:p w:rsidR="000B604F" w:rsidRPr="000B604F" w:rsidRDefault="000B604F" w:rsidP="000B604F">
      <w:pPr>
        <w:spacing w:line="240" w:lineRule="auto"/>
        <w:ind w:left="1760"/>
        <w:jc w:val="both"/>
        <w:rPr>
          <w:sz w:val="20"/>
          <w:szCs w:val="20"/>
        </w:rPr>
      </w:pPr>
      <w:r w:rsidRPr="000B604F">
        <w:rPr>
          <w:sz w:val="20"/>
          <w:szCs w:val="20"/>
        </w:rPr>
        <w:t>copy to all SEs by our Association namely, Tamilnadu Electricity Consumers Association.</w:t>
      </w:r>
    </w:p>
    <w:p w:rsidR="000B604F" w:rsidRPr="000B604F" w:rsidRDefault="000B604F" w:rsidP="000B604F">
      <w:pPr>
        <w:spacing w:line="240" w:lineRule="auto"/>
        <w:ind w:left="1440" w:hanging="720"/>
        <w:jc w:val="center"/>
        <w:rPr>
          <w:rFonts w:cs="Arial"/>
          <w:sz w:val="20"/>
          <w:szCs w:val="20"/>
        </w:rPr>
      </w:pPr>
      <w:r w:rsidRPr="000B604F">
        <w:rPr>
          <w:rFonts w:cs="Arial"/>
          <w:sz w:val="20"/>
          <w:szCs w:val="20"/>
        </w:rPr>
        <w:t xml:space="preserve">*****  </w:t>
      </w:r>
    </w:p>
    <w:p w:rsidR="000B604F" w:rsidRPr="000B604F" w:rsidRDefault="000B604F" w:rsidP="000B604F">
      <w:pPr>
        <w:spacing w:line="240" w:lineRule="auto"/>
        <w:ind w:left="1440" w:hanging="720"/>
        <w:jc w:val="center"/>
        <w:rPr>
          <w:rFonts w:cs="Arial"/>
          <w:sz w:val="20"/>
          <w:szCs w:val="20"/>
        </w:rPr>
      </w:pPr>
    </w:p>
    <w:p w:rsidR="000B604F" w:rsidRPr="000B604F" w:rsidRDefault="000B604F" w:rsidP="000B604F">
      <w:pPr>
        <w:spacing w:line="240" w:lineRule="auto"/>
        <w:ind w:firstLine="720"/>
        <w:jc w:val="both"/>
        <w:rPr>
          <w:rFonts w:cs="Arial"/>
          <w:sz w:val="20"/>
          <w:szCs w:val="20"/>
        </w:rPr>
      </w:pPr>
      <w:r w:rsidRPr="000B604F">
        <w:rPr>
          <w:rFonts w:cs="Arial"/>
          <w:sz w:val="20"/>
          <w:szCs w:val="20"/>
        </w:rPr>
        <w:t xml:space="preserve">Please find attached a scanned copy of the letter of the Superintending Engineer of ------------- EDC, calling for certain records from us, for the purpose of verification of CGP norms, on the reason of having received power supply from your Company.  The letter is self-explanatory. On an advice provided by our Association namely Tamilnadu Electricity Consumers Association, we understand that the domain to verify the Captive Status of CGPs is only with the State Regulatory Commission namely TNERC.  </w:t>
      </w:r>
    </w:p>
    <w:p w:rsidR="000B604F" w:rsidRPr="000B604F" w:rsidRDefault="000B604F" w:rsidP="000B604F">
      <w:pPr>
        <w:spacing w:line="240" w:lineRule="auto"/>
        <w:ind w:left="720" w:firstLine="720"/>
        <w:jc w:val="both"/>
        <w:rPr>
          <w:rFonts w:cs="Arial"/>
          <w:sz w:val="20"/>
          <w:szCs w:val="20"/>
        </w:rPr>
      </w:pPr>
    </w:p>
    <w:p w:rsidR="000B604F" w:rsidRPr="000B604F" w:rsidRDefault="000B604F" w:rsidP="000B604F">
      <w:pPr>
        <w:spacing w:line="240" w:lineRule="auto"/>
        <w:ind w:firstLine="720"/>
        <w:jc w:val="both"/>
        <w:rPr>
          <w:rFonts w:cs="Arial"/>
          <w:sz w:val="20"/>
          <w:szCs w:val="20"/>
        </w:rPr>
      </w:pPr>
      <w:r w:rsidRPr="000B604F">
        <w:rPr>
          <w:rFonts w:cs="Arial"/>
          <w:sz w:val="20"/>
          <w:szCs w:val="20"/>
        </w:rPr>
        <w:t xml:space="preserve">Hence, for having called for the records from consumers like us, our Association has already filed an objection before the CFC-Revenue on 10.04.2017 to explain the correct legal course to be followed in this regard. Accordingly, we have already sent a letter to our SE also on the same grounds and have requested him not to insist the documents anymore. However, as the CGP status needs to be declared by the Hon'ble TNERC as per the proviso clause under Section 42(2) of the Electricity Act 2003, we request you to kindly initiate your proceedings before the Hon'ble TNERC by filing a Miscellaneous Petition (MP) in this regard without any loss of time and provide us a copy of the approval granted to you by the Hon'ble TNERC, declaring your captive generator status, so that there would be effective compliance of law and also consequences if any in this regard can be avoided. We solicit your cooperation and urgent follow up in the matter at your earliest. </w:t>
      </w:r>
    </w:p>
    <w:p w:rsidR="000B604F" w:rsidRPr="000B604F" w:rsidRDefault="000B604F" w:rsidP="000B604F">
      <w:pPr>
        <w:spacing w:line="240" w:lineRule="auto"/>
        <w:ind w:firstLine="720"/>
        <w:jc w:val="both"/>
        <w:rPr>
          <w:rFonts w:cs="Arial"/>
          <w:sz w:val="20"/>
          <w:szCs w:val="20"/>
        </w:rPr>
      </w:pPr>
    </w:p>
    <w:p w:rsidR="000B604F" w:rsidRPr="000B604F" w:rsidRDefault="000B604F" w:rsidP="000B604F">
      <w:pPr>
        <w:spacing w:line="240" w:lineRule="auto"/>
        <w:jc w:val="both"/>
        <w:rPr>
          <w:rFonts w:cs="Arial"/>
          <w:sz w:val="20"/>
          <w:szCs w:val="20"/>
        </w:rPr>
      </w:pPr>
      <w:r w:rsidRPr="000B604F">
        <w:rPr>
          <w:rFonts w:cs="Arial"/>
          <w:sz w:val="20"/>
          <w:szCs w:val="20"/>
        </w:rPr>
        <w:t xml:space="preserve">Thanking You, </w:t>
      </w:r>
    </w:p>
    <w:p w:rsidR="000B604F" w:rsidRPr="000B604F" w:rsidRDefault="000B604F" w:rsidP="000B604F">
      <w:pPr>
        <w:spacing w:line="240" w:lineRule="auto"/>
        <w:ind w:left="720" w:firstLine="720"/>
        <w:jc w:val="right"/>
        <w:rPr>
          <w:rFonts w:cs="Arial"/>
          <w:sz w:val="20"/>
          <w:szCs w:val="20"/>
        </w:rPr>
      </w:pPr>
    </w:p>
    <w:p w:rsidR="000B604F" w:rsidRPr="000B604F" w:rsidRDefault="000B604F" w:rsidP="000B604F">
      <w:pPr>
        <w:spacing w:line="240" w:lineRule="auto"/>
        <w:rPr>
          <w:rFonts w:cs="Arial"/>
          <w:sz w:val="20"/>
          <w:szCs w:val="20"/>
        </w:rPr>
      </w:pPr>
      <w:r w:rsidRPr="000B604F">
        <w:rPr>
          <w:rFonts w:cs="Arial"/>
          <w:sz w:val="20"/>
          <w:szCs w:val="20"/>
        </w:rPr>
        <w:t xml:space="preserve">Yours Truly, </w:t>
      </w:r>
    </w:p>
    <w:p w:rsidR="000B604F" w:rsidRDefault="000B604F" w:rsidP="000B604F">
      <w:pPr>
        <w:spacing w:line="240" w:lineRule="auto"/>
        <w:rPr>
          <w:rFonts w:cs="Arial"/>
          <w:sz w:val="20"/>
          <w:szCs w:val="20"/>
        </w:rPr>
      </w:pPr>
    </w:p>
    <w:p w:rsidR="000B604F" w:rsidRDefault="000B604F" w:rsidP="000B604F">
      <w:pPr>
        <w:spacing w:line="240" w:lineRule="auto"/>
        <w:rPr>
          <w:rFonts w:cs="Arial"/>
          <w:sz w:val="20"/>
          <w:szCs w:val="20"/>
        </w:rPr>
      </w:pPr>
    </w:p>
    <w:p w:rsidR="000B604F" w:rsidRPr="000B604F" w:rsidRDefault="000B604F" w:rsidP="000B604F">
      <w:pPr>
        <w:spacing w:line="240" w:lineRule="auto"/>
        <w:rPr>
          <w:rFonts w:cs="Arial"/>
          <w:sz w:val="20"/>
          <w:szCs w:val="20"/>
        </w:rPr>
      </w:pPr>
    </w:p>
    <w:p w:rsidR="000B604F" w:rsidRPr="000B604F" w:rsidRDefault="000B604F" w:rsidP="000B604F">
      <w:pPr>
        <w:spacing w:line="240" w:lineRule="auto"/>
        <w:rPr>
          <w:rFonts w:cs="Arial"/>
          <w:sz w:val="20"/>
          <w:szCs w:val="20"/>
        </w:rPr>
      </w:pPr>
      <w:r w:rsidRPr="000B604F">
        <w:rPr>
          <w:rFonts w:cs="Arial"/>
          <w:sz w:val="20"/>
          <w:szCs w:val="20"/>
        </w:rPr>
        <w:t>Encl:- Copy of the letter of SE.</w:t>
      </w:r>
    </w:p>
    <w:p w:rsidR="000B604F" w:rsidRPr="000B604F" w:rsidRDefault="000B604F" w:rsidP="000B604F">
      <w:pPr>
        <w:spacing w:line="240" w:lineRule="auto"/>
        <w:rPr>
          <w:sz w:val="20"/>
          <w:szCs w:val="20"/>
        </w:rPr>
      </w:pPr>
      <w:r w:rsidRPr="000B604F">
        <w:rPr>
          <w:rFonts w:cs="Arial"/>
          <w:sz w:val="20"/>
          <w:szCs w:val="20"/>
        </w:rPr>
        <w:t>Copy to: TECA</w:t>
      </w:r>
    </w:p>
    <w:p w:rsidR="00770893" w:rsidRPr="000B604F" w:rsidRDefault="00770893">
      <w:pPr>
        <w:rPr>
          <w:sz w:val="20"/>
          <w:szCs w:val="20"/>
        </w:rPr>
      </w:pPr>
    </w:p>
    <w:sectPr w:rsidR="00770893" w:rsidRPr="000B604F" w:rsidSect="00CD003E">
      <w:pgSz w:w="11906" w:h="16838"/>
      <w:pgMar w:top="36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B604F"/>
    <w:rsid w:val="000B604F"/>
    <w:rsid w:val="00770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4F"/>
    <w:pPr>
      <w:spacing w:after="0" w:line="259" w:lineRule="auto"/>
    </w:pPr>
    <w:rPr>
      <w:rFonts w:ascii="Verdana" w:eastAsia="Calibri" w:hAnsi="Verdana" w:cs="Lath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2017-04-11T10:53:00Z</dcterms:created>
  <dcterms:modified xsi:type="dcterms:W3CDTF">2017-04-11T10:53:00Z</dcterms:modified>
</cp:coreProperties>
</file>